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ATIVIDADE / VIAGEM</w:t>
      </w:r>
    </w:p>
    <w:tbl>
      <w:tblPr>
        <w:tblStyle w:val="Table1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color w:val="cccccc"/>
                <w:sz w:val="28"/>
                <w:szCs w:val="28"/>
                <w:rtl w:val="0"/>
              </w:rPr>
              <w:t xml:space="preserve">designação: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Hora e local de partida:</w:t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Hora e local de chegada: </w:t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Itinerário: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úblico-alvo (número de lugares disponíveis):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razo e forma de inscrição: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reço (forma de pagamento):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Programa (roteiro detalhado):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Grau de dificuldade: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Responsáveis: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Condições de desistência: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Notas:</w:t>
            </w:r>
          </w:p>
        </w:tc>
      </w:tr>
    </w:tbl>
    <w:p w:rsidR="00000000" w:rsidDel="00000000" w:rsidP="00000000" w:rsidRDefault="00000000" w:rsidRPr="00000000">
      <w:pPr>
        <w:widowControl w:val="0"/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850.3937007874016" w:top="850.3937007874016" w:left="1417.3228346456694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Ubuntu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rFonts w:ascii="Ubuntu" w:cs="Ubuntu" w:eastAsia="Ubuntu" w:hAnsi="Ubuntu"/>
        <w:b w:val="1"/>
        <w:color w:val="3366cc"/>
        <w:sz w:val="18"/>
        <w:szCs w:val="18"/>
        <w:rtl w:val="0"/>
      </w:rPr>
      <w:t xml:space="preserve">CAMINHAR – Associação Cristã de Apoio Social </w:t>
    </w:r>
    <w:r w:rsidDel="00000000" w:rsidR="00000000" w:rsidRPr="00000000">
      <w:rPr>
        <w:rFonts w:ascii="Ubuntu" w:cs="Ubuntu" w:eastAsia="Ubuntu" w:hAnsi="Ubuntu"/>
        <w:color w:val="3366cc"/>
        <w:sz w:val="18"/>
        <w:szCs w:val="18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rFonts w:ascii="Ubuntu" w:cs="Ubuntu" w:eastAsia="Ubuntu" w:hAnsi="Ubuntu"/>
        <w:color w:val="3366cc"/>
        <w:sz w:val="14"/>
        <w:szCs w:val="14"/>
        <w:rtl w:val="0"/>
      </w:rPr>
      <w:t xml:space="preserve">Instituição Particular de Solidariedade Social  |  Registo n.º 112/2003  |  Pessoa Coletiva nº 506 108 058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rFonts w:ascii="Ubuntu" w:cs="Ubuntu" w:eastAsia="Ubuntu" w:hAnsi="Ubuntu"/>
        <w:color w:val="3366cc"/>
        <w:sz w:val="14"/>
        <w:szCs w:val="14"/>
        <w:rtl w:val="0"/>
      </w:rPr>
      <w:t xml:space="preserve">Rua Mov. Forças Armadas, 17 | 7400-246 Ponte de Sor  |  Tel/Fax  242 206 510  |  Tlm  931 619 023  |  </w:t>
    </w:r>
    <w:hyperlink r:id="rId1">
      <w:r w:rsidDel="00000000" w:rsidR="00000000" w:rsidRPr="00000000">
        <w:rPr>
          <w:rFonts w:ascii="Ubuntu" w:cs="Ubuntu" w:eastAsia="Ubuntu" w:hAnsi="Ubuntu"/>
          <w:color w:val="1155cc"/>
          <w:sz w:val="14"/>
          <w:szCs w:val="14"/>
          <w:u w:val="single"/>
          <w:rtl w:val="0"/>
        </w:rPr>
        <w:t xml:space="preserve">associacao@caminhar.org</w:t>
      </w:r>
    </w:hyperlink>
    <w:r w:rsidDel="00000000" w:rsidR="00000000" w:rsidRPr="00000000">
      <w:rPr>
        <w:rFonts w:ascii="Ubuntu" w:cs="Ubuntu" w:eastAsia="Ubuntu" w:hAnsi="Ubuntu"/>
        <w:color w:val="3366cc"/>
        <w:sz w:val="14"/>
        <w:szCs w:val="14"/>
        <w:rtl w:val="0"/>
      </w:rPr>
      <w:t xml:space="preserve"> </w:t>
    </w:r>
    <w:r w:rsidDel="00000000" w:rsidR="00000000" w:rsidRPr="00000000">
      <w:rPr>
        <w:rFonts w:ascii="Ubuntu" w:cs="Ubuntu" w:eastAsia="Ubuntu" w:hAnsi="Ubuntu"/>
        <w:color w:val="3366cc"/>
        <w:sz w:val="14"/>
        <w:szCs w:val="14"/>
        <w:rtl w:val="0"/>
      </w:rPr>
      <w:t xml:space="preserve"> |  </w:t>
    </w:r>
    <w:hyperlink r:id="rId2">
      <w:r w:rsidDel="00000000" w:rsidR="00000000" w:rsidRPr="00000000">
        <w:rPr>
          <w:rFonts w:ascii="Ubuntu" w:cs="Ubuntu" w:eastAsia="Ubuntu" w:hAnsi="Ubuntu"/>
          <w:color w:val="1155cc"/>
          <w:sz w:val="14"/>
          <w:szCs w:val="14"/>
          <w:u w:val="single"/>
          <w:rtl w:val="0"/>
        </w:rPr>
        <w:t xml:space="preserve">www.caminhar.org</w:t>
      </w:r>
    </w:hyperlink>
    <w:r w:rsidDel="00000000" w:rsidR="00000000" w:rsidRPr="00000000">
      <w:rPr>
        <w:rFonts w:ascii="Ubuntu" w:cs="Ubuntu" w:eastAsia="Ubuntu" w:hAnsi="Ubuntu"/>
        <w:color w:val="3366cc"/>
        <w:sz w:val="14"/>
        <w:szCs w:val="14"/>
        <w:rtl w:val="0"/>
      </w:rPr>
      <w:t xml:space="preserve"> </w:t>
    </w:r>
    <w:r w:rsidDel="00000000" w:rsidR="00000000" w:rsidRPr="00000000">
      <w:rPr>
        <w:rFonts w:ascii="Ubuntu" w:cs="Ubuntu" w:eastAsia="Ubuntu" w:hAnsi="Ubuntu"/>
        <w:color w:val="3366cc"/>
        <w:sz w:val="18"/>
        <w:szCs w:val="18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fldSimple w:instr="PAGE" w:fldLock="0" w:dirty="0">
      <w:r w:rsidDel="00000000" w:rsidR="00000000" w:rsidRPr="00000000">
        <w:rPr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right"/>
    </w:pPr>
    <w:r w:rsidDel="00000000" w:rsidR="00000000" w:rsidRPr="00000000">
      <w:drawing>
        <wp:inline distB="19050" distT="19050" distL="19050" distR="19050">
          <wp:extent cx="847725" cy="523875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drawing>
        <wp:inline distB="114300" distT="114300" distL="114300" distR="114300">
          <wp:extent cx="519113" cy="478398"/>
          <wp:effectExtent b="0" l="0" r="0" t="0"/>
          <wp:docPr descr="a 663.jpg" id="1" name="image01.jpg"/>
          <a:graphic>
            <a:graphicData uri="http://schemas.openxmlformats.org/drawingml/2006/picture">
              <pic:pic>
                <pic:nvPicPr>
                  <pic:cNvPr descr="a 663.jpg" id="0" name="image0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113" cy="4783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Regulamento de Viagens e Atividades Pontuais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ssociacao@caminhar.org" TargetMode="External"/><Relationship Id="rId2" Type="http://schemas.openxmlformats.org/officeDocument/2006/relationships/hyperlink" Target="http://www.caminhar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Relationship Id="rId2" Type="http://schemas.openxmlformats.org/officeDocument/2006/relationships/image" Target="media/image01.jpg"/></Relationships>
</file>